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85BD5">
      <w:pPr>
        <w:jc w:val="left"/>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政府采购合同                          合同编号：</w:t>
      </w:r>
    </w:p>
    <w:p w14:paraId="08C582ED">
      <w:pPr>
        <w:pStyle w:val="2"/>
        <w:rPr>
          <w:rFonts w:hint="eastAsia" w:ascii="仿宋" w:hAnsi="仿宋" w:eastAsia="仿宋" w:cs="仿宋"/>
          <w:bCs/>
          <w:sz w:val="32"/>
          <w:szCs w:val="32"/>
          <w:highlight w:val="none"/>
          <w:lang w:eastAsia="zh-CN"/>
        </w:rPr>
      </w:pPr>
    </w:p>
    <w:p w14:paraId="5E446758">
      <w:pPr>
        <w:pStyle w:val="2"/>
        <w:rPr>
          <w:rFonts w:hint="eastAsia" w:ascii="仿宋" w:hAnsi="仿宋" w:eastAsia="仿宋" w:cs="仿宋"/>
          <w:bCs/>
          <w:sz w:val="32"/>
          <w:szCs w:val="32"/>
          <w:highlight w:val="none"/>
          <w:lang w:eastAsia="zh-CN"/>
        </w:rPr>
      </w:pPr>
    </w:p>
    <w:p w14:paraId="1986A665">
      <w:pPr>
        <w:pStyle w:val="2"/>
        <w:rPr>
          <w:rFonts w:hint="eastAsia" w:ascii="仿宋" w:hAnsi="仿宋" w:eastAsia="仿宋" w:cs="仿宋"/>
          <w:sz w:val="21"/>
          <w:szCs w:val="21"/>
          <w:highlight w:val="none"/>
          <w:lang w:eastAsia="zh-CN"/>
        </w:rPr>
      </w:pPr>
    </w:p>
    <w:p w14:paraId="63B57336">
      <w:pPr>
        <w:jc w:val="center"/>
        <w:rPr>
          <w:rFonts w:hint="eastAsia" w:ascii="仿宋" w:hAnsi="仿宋" w:eastAsia="仿宋" w:cs="仿宋"/>
          <w:b/>
          <w:bCs/>
          <w:sz w:val="48"/>
          <w:szCs w:val="48"/>
          <w:highlight w:val="none"/>
        </w:rPr>
      </w:pPr>
      <w:r>
        <w:rPr>
          <w:rFonts w:hint="eastAsia" w:ascii="仿宋" w:hAnsi="仿宋" w:eastAsia="仿宋" w:cs="仿宋"/>
          <w:b/>
          <w:bCs/>
          <w:sz w:val="48"/>
          <w:szCs w:val="48"/>
          <w:highlight w:val="none"/>
          <w:u w:val="single"/>
        </w:rPr>
        <w:t xml:space="preserve">                         </w:t>
      </w:r>
      <w:r>
        <w:rPr>
          <w:rFonts w:hint="eastAsia" w:ascii="仿宋" w:hAnsi="仿宋" w:eastAsia="仿宋" w:cs="仿宋"/>
          <w:b/>
          <w:bCs/>
          <w:sz w:val="48"/>
          <w:szCs w:val="48"/>
          <w:highlight w:val="none"/>
        </w:rPr>
        <w:t>项目</w:t>
      </w:r>
    </w:p>
    <w:p w14:paraId="386A8084">
      <w:pPr>
        <w:rPr>
          <w:rFonts w:hint="eastAsia" w:ascii="仿宋" w:hAnsi="仿宋" w:eastAsia="仿宋" w:cs="仿宋"/>
          <w:sz w:val="22"/>
          <w:szCs w:val="28"/>
          <w:highlight w:val="none"/>
        </w:rPr>
      </w:pPr>
    </w:p>
    <w:p w14:paraId="1D48BA34">
      <w:pPr>
        <w:rPr>
          <w:rFonts w:hint="eastAsia" w:ascii="仿宋" w:hAnsi="仿宋" w:eastAsia="仿宋" w:cs="仿宋"/>
          <w:sz w:val="22"/>
          <w:szCs w:val="28"/>
          <w:highlight w:val="none"/>
        </w:rPr>
      </w:pPr>
    </w:p>
    <w:p w14:paraId="4EE8FC6C">
      <w:pPr>
        <w:pStyle w:val="2"/>
        <w:rPr>
          <w:rFonts w:hint="eastAsia" w:ascii="仿宋" w:hAnsi="仿宋" w:eastAsia="仿宋" w:cs="仿宋"/>
          <w:sz w:val="21"/>
          <w:szCs w:val="21"/>
          <w:highlight w:val="none"/>
          <w:lang w:eastAsia="zh-CN"/>
        </w:rPr>
      </w:pPr>
    </w:p>
    <w:p w14:paraId="5CE4CC3B">
      <w:pPr>
        <w:pStyle w:val="2"/>
        <w:rPr>
          <w:rFonts w:hint="eastAsia" w:ascii="仿宋" w:hAnsi="仿宋" w:eastAsia="仿宋" w:cs="仿宋"/>
          <w:sz w:val="21"/>
          <w:szCs w:val="21"/>
          <w:highlight w:val="none"/>
          <w:lang w:eastAsia="zh-CN"/>
        </w:rPr>
      </w:pPr>
    </w:p>
    <w:p w14:paraId="0AD0BEBB">
      <w:pPr>
        <w:rPr>
          <w:rFonts w:hint="eastAsia" w:ascii="仿宋" w:hAnsi="仿宋" w:eastAsia="仿宋" w:cs="仿宋"/>
          <w:sz w:val="22"/>
          <w:szCs w:val="28"/>
          <w:highlight w:val="none"/>
        </w:rPr>
      </w:pPr>
    </w:p>
    <w:p w14:paraId="381241EA">
      <w:pPr>
        <w:rPr>
          <w:rFonts w:hint="eastAsia" w:ascii="仿宋" w:hAnsi="仿宋" w:eastAsia="仿宋" w:cs="仿宋"/>
          <w:sz w:val="22"/>
          <w:szCs w:val="28"/>
          <w:highlight w:val="none"/>
        </w:rPr>
      </w:pPr>
    </w:p>
    <w:p w14:paraId="587186F2">
      <w:pPr>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（示范文本仅供参考）</w:t>
      </w:r>
    </w:p>
    <w:p w14:paraId="11BD7C25">
      <w:pPr>
        <w:jc w:val="center"/>
        <w:rPr>
          <w:rFonts w:hint="eastAsia" w:ascii="仿宋" w:hAnsi="仿宋" w:eastAsia="仿宋" w:cs="仿宋"/>
          <w:b/>
          <w:sz w:val="40"/>
          <w:szCs w:val="40"/>
          <w:highlight w:val="none"/>
        </w:rPr>
      </w:pPr>
    </w:p>
    <w:p w14:paraId="6D04B2AF">
      <w:pPr>
        <w:rPr>
          <w:rFonts w:hint="eastAsia" w:ascii="仿宋" w:hAnsi="仿宋" w:eastAsia="仿宋" w:cs="仿宋"/>
          <w:sz w:val="22"/>
          <w:szCs w:val="28"/>
          <w:highlight w:val="none"/>
        </w:rPr>
      </w:pPr>
    </w:p>
    <w:p w14:paraId="316D7AF6">
      <w:pPr>
        <w:jc w:val="center"/>
        <w:rPr>
          <w:rFonts w:hint="eastAsia" w:ascii="仿宋" w:hAnsi="仿宋" w:eastAsia="仿宋" w:cs="仿宋"/>
          <w:b/>
          <w:sz w:val="40"/>
          <w:szCs w:val="40"/>
          <w:highlight w:val="none"/>
        </w:rPr>
      </w:pPr>
    </w:p>
    <w:p w14:paraId="234AE05F">
      <w:pPr>
        <w:spacing w:before="156" w:beforeLines="50" w:line="360" w:lineRule="auto"/>
        <w:rPr>
          <w:rFonts w:hint="eastAsia" w:ascii="仿宋" w:hAnsi="仿宋" w:eastAsia="仿宋" w:cs="仿宋"/>
          <w:b/>
          <w:bCs/>
          <w:sz w:val="40"/>
          <w:szCs w:val="40"/>
          <w:highlight w:val="none"/>
        </w:rPr>
      </w:pPr>
    </w:p>
    <w:p w14:paraId="6F13C5AC">
      <w:pPr>
        <w:spacing w:before="156" w:beforeLines="50" w:line="360" w:lineRule="auto"/>
        <w:ind w:firstLine="1420" w:firstLineChars="393"/>
        <w:jc w:val="left"/>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采  购  人：</w:t>
      </w:r>
      <w:r>
        <w:rPr>
          <w:rFonts w:hint="eastAsia" w:ascii="仿宋" w:hAnsi="仿宋" w:eastAsia="仿宋" w:cs="仿宋"/>
          <w:b/>
          <w:bCs/>
          <w:sz w:val="36"/>
          <w:szCs w:val="36"/>
          <w:highlight w:val="none"/>
          <w:u w:val="single"/>
        </w:rPr>
        <w:t xml:space="preserve"> </w:t>
      </w:r>
      <w:r>
        <w:rPr>
          <w:rFonts w:hint="eastAsia" w:ascii="仿宋" w:hAnsi="仿宋" w:eastAsia="仿宋" w:cs="仿宋"/>
          <w:b/>
          <w:bCs/>
          <w:sz w:val="36"/>
          <w:szCs w:val="36"/>
          <w:highlight w:val="none"/>
          <w:u w:val="single"/>
          <w:lang w:eastAsia="zh-CN"/>
        </w:rPr>
        <w:t>陕西省高级人民法院</w:t>
      </w:r>
      <w:r>
        <w:rPr>
          <w:rFonts w:hint="eastAsia" w:ascii="仿宋" w:hAnsi="仿宋" w:eastAsia="仿宋" w:cs="仿宋"/>
          <w:b/>
          <w:bCs/>
          <w:sz w:val="36"/>
          <w:szCs w:val="36"/>
          <w:highlight w:val="none"/>
          <w:u w:val="single"/>
        </w:rPr>
        <w:t xml:space="preserve">     </w:t>
      </w:r>
    </w:p>
    <w:p w14:paraId="1D894BCF">
      <w:pPr>
        <w:spacing w:before="156" w:beforeLines="50" w:line="360" w:lineRule="auto"/>
        <w:ind w:firstLine="1420" w:firstLineChars="393"/>
        <w:jc w:val="left"/>
        <w:rPr>
          <w:rFonts w:hint="eastAsia" w:ascii="仿宋" w:hAnsi="仿宋" w:eastAsia="仿宋" w:cs="仿宋"/>
          <w:sz w:val="36"/>
          <w:szCs w:val="36"/>
          <w:highlight w:val="none"/>
          <w:u w:val="single"/>
        </w:rPr>
      </w:pPr>
      <w:r>
        <w:rPr>
          <w:rFonts w:hint="eastAsia" w:ascii="仿宋" w:hAnsi="仿宋" w:eastAsia="仿宋" w:cs="仿宋"/>
          <w:b/>
          <w:bCs/>
          <w:sz w:val="36"/>
          <w:szCs w:val="36"/>
          <w:highlight w:val="none"/>
        </w:rPr>
        <w:t>中  标  人：</w:t>
      </w:r>
      <w:r>
        <w:rPr>
          <w:rFonts w:hint="eastAsia" w:ascii="仿宋" w:hAnsi="仿宋" w:eastAsia="仿宋" w:cs="仿宋"/>
          <w:sz w:val="36"/>
          <w:szCs w:val="36"/>
          <w:highlight w:val="none"/>
          <w:u w:val="single"/>
        </w:rPr>
        <w:t xml:space="preserve">                        </w:t>
      </w:r>
    </w:p>
    <w:p w14:paraId="758CECD9">
      <w:pPr>
        <w:spacing w:before="156" w:beforeLines="50" w:line="360" w:lineRule="auto"/>
        <w:ind w:firstLine="3614" w:firstLineChars="1000"/>
        <w:jc w:val="left"/>
        <w:rPr>
          <w:rFonts w:hint="eastAsia" w:ascii="仿宋" w:hAnsi="仿宋" w:eastAsia="仿宋" w:cs="仿宋"/>
          <w:b/>
          <w:bCs/>
          <w:sz w:val="28"/>
          <w:szCs w:val="28"/>
          <w:highlight w:val="yellow"/>
        </w:rPr>
      </w:pPr>
      <w:r>
        <w:rPr>
          <w:rFonts w:hint="eastAsia" w:ascii="仿宋" w:hAnsi="仿宋" w:eastAsia="仿宋" w:cs="仿宋"/>
          <w:b/>
          <w:bCs/>
          <w:sz w:val="36"/>
          <w:szCs w:val="36"/>
          <w:highlight w:val="none"/>
        </w:rPr>
        <w:t>二〇二六年  月</w:t>
      </w:r>
      <w:r>
        <w:rPr>
          <w:rFonts w:hint="eastAsia" w:ascii="仿宋" w:hAnsi="仿宋" w:eastAsia="仿宋" w:cs="仿宋"/>
          <w:b/>
          <w:bCs/>
          <w:sz w:val="40"/>
          <w:szCs w:val="40"/>
          <w:highlight w:val="yellow"/>
        </w:rPr>
        <w:br w:type="page"/>
      </w:r>
    </w:p>
    <w:p w14:paraId="60C29C6B">
      <w:pPr>
        <w:adjustRightInd w:val="0"/>
        <w:snapToGrid w:val="0"/>
        <w:spacing w:line="360" w:lineRule="auto"/>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甲方：</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eastAsia="zh-CN"/>
        </w:rPr>
        <w:t>陕西省高级人民法院</w:t>
      </w:r>
      <w:r>
        <w:rPr>
          <w:rFonts w:hint="eastAsia" w:ascii="仿宋" w:hAnsi="仿宋" w:eastAsia="仿宋" w:cs="仿宋"/>
          <w:szCs w:val="21"/>
          <w:highlight w:val="none"/>
          <w:u w:val="single"/>
        </w:rPr>
        <w:t xml:space="preserve">  </w:t>
      </w:r>
    </w:p>
    <w:p w14:paraId="4A11A23B">
      <w:pPr>
        <w:adjustRightInd w:val="0"/>
        <w:snapToGrid w:val="0"/>
        <w:spacing w:line="360" w:lineRule="auto"/>
        <w:ind w:firstLine="420" w:firstLineChars="200"/>
        <w:jc w:val="left"/>
        <w:rPr>
          <w:rFonts w:hint="eastAsia" w:ascii="仿宋" w:hAnsi="仿宋" w:eastAsia="仿宋" w:cs="仿宋"/>
          <w:kern w:val="0"/>
          <w:szCs w:val="21"/>
          <w:highlight w:val="none"/>
          <w:u w:val="single"/>
        </w:rPr>
      </w:pPr>
      <w:r>
        <w:rPr>
          <w:rFonts w:hint="eastAsia" w:ascii="仿宋" w:hAnsi="仿宋" w:eastAsia="仿宋" w:cs="仿宋"/>
          <w:szCs w:val="21"/>
          <w:highlight w:val="none"/>
        </w:rPr>
        <w:t>乙方：</w:t>
      </w:r>
      <w:r>
        <w:rPr>
          <w:rFonts w:hint="eastAsia" w:ascii="仿宋" w:hAnsi="仿宋" w:eastAsia="仿宋" w:cs="仿宋"/>
          <w:kern w:val="0"/>
          <w:szCs w:val="21"/>
          <w:highlight w:val="none"/>
          <w:u w:val="single"/>
        </w:rPr>
        <w:t xml:space="preserve">                        </w:t>
      </w:r>
    </w:p>
    <w:p w14:paraId="333AFD95">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zh-CN"/>
        </w:rPr>
        <w:t>根据《中华人民共和国</w:t>
      </w:r>
      <w:r>
        <w:rPr>
          <w:rFonts w:hint="eastAsia" w:ascii="仿宋" w:hAnsi="仿宋" w:eastAsia="仿宋" w:cs="仿宋"/>
          <w:sz w:val="20"/>
          <w:szCs w:val="20"/>
          <w:highlight w:val="none"/>
          <w:lang w:val="en-US" w:eastAsia="zh-CN"/>
        </w:rPr>
        <w:t>民法典</w:t>
      </w:r>
      <w:r>
        <w:rPr>
          <w:rFonts w:hint="eastAsia" w:ascii="仿宋" w:hAnsi="仿宋" w:eastAsia="仿宋" w:cs="仿宋"/>
          <w:sz w:val="20"/>
          <w:szCs w:val="20"/>
          <w:highlight w:val="none"/>
          <w:lang w:val="zh-CN"/>
        </w:rPr>
        <w:t>》、《中华人民共和国政府采购法》等相关法律法规之规定，按照平等、自愿、公平和诚实信用的原则，经甲方和乙方协商一致，约定以下合同</w:t>
      </w:r>
      <w:r>
        <w:rPr>
          <w:rFonts w:hint="eastAsia" w:ascii="仿宋" w:hAnsi="仿宋" w:eastAsia="仿宋" w:cs="仿宋"/>
          <w:sz w:val="20"/>
          <w:szCs w:val="20"/>
          <w:highlight w:val="none"/>
        </w:rPr>
        <w:t>条款，以兹共同遵守、全面履行。</w:t>
      </w:r>
    </w:p>
    <w:p w14:paraId="0D9AE76B">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0" w:name="_Toc24059"/>
      <w:bookmarkStart w:id="1" w:name="_Toc2232"/>
      <w:bookmarkStart w:id="2" w:name="_Toc17016"/>
      <w:bookmarkStart w:id="3" w:name="_Toc27743"/>
      <w:bookmarkStart w:id="4" w:name="_Toc3029"/>
      <w:r>
        <w:rPr>
          <w:rFonts w:hint="eastAsia" w:ascii="仿宋" w:hAnsi="仿宋" w:eastAsia="仿宋" w:cs="仿宋"/>
          <w:b/>
          <w:bCs/>
          <w:sz w:val="20"/>
          <w:szCs w:val="20"/>
          <w:highlight w:val="none"/>
        </w:rPr>
        <w:t>1.1合同组成部分</w:t>
      </w:r>
      <w:bookmarkEnd w:id="0"/>
      <w:bookmarkEnd w:id="1"/>
      <w:bookmarkEnd w:id="2"/>
      <w:bookmarkEnd w:id="3"/>
      <w:bookmarkEnd w:id="4"/>
    </w:p>
    <w:p w14:paraId="5CACEBCD">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下列文件为本合同的组成部分，并构成一个整体，需综合解释、相互补充。</w:t>
      </w:r>
      <w:r>
        <w:rPr>
          <w:rFonts w:hint="eastAsia" w:ascii="仿宋" w:hAnsi="仿宋" w:eastAsia="仿宋" w:cs="仿宋"/>
          <w:sz w:val="20"/>
          <w:szCs w:val="20"/>
          <w:highlight w:val="none"/>
          <w:lang w:val="zh-CN"/>
        </w:rPr>
        <w:t>如果下列文件内容出现不一致的情形，那么在保证按照采购文件确定的事项的前提下，组成本合同的多个文件的优先适用顺序如下：</w:t>
      </w:r>
    </w:p>
    <w:p w14:paraId="50754AC5">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1.1.1本合同及其补充合同、变更协议；</w:t>
      </w:r>
    </w:p>
    <w:p w14:paraId="7A2C2F61">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1.1.2</w:t>
      </w:r>
      <w:r>
        <w:rPr>
          <w:rFonts w:hint="eastAsia" w:ascii="仿宋" w:hAnsi="仿宋" w:eastAsia="仿宋" w:cs="仿宋"/>
          <w:sz w:val="20"/>
          <w:szCs w:val="20"/>
          <w:highlight w:val="none"/>
        </w:rPr>
        <w:t>中标</w:t>
      </w:r>
      <w:r>
        <w:rPr>
          <w:rFonts w:hint="eastAsia" w:ascii="仿宋" w:hAnsi="仿宋" w:eastAsia="仿宋" w:cs="仿宋"/>
          <w:sz w:val="20"/>
          <w:szCs w:val="20"/>
          <w:highlight w:val="none"/>
          <w:lang w:val="zh-CN"/>
        </w:rPr>
        <w:t>通知书；</w:t>
      </w:r>
    </w:p>
    <w:p w14:paraId="720918D7">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1.1.3</w:t>
      </w:r>
      <w:r>
        <w:rPr>
          <w:rFonts w:hint="eastAsia" w:ascii="仿宋" w:hAnsi="仿宋" w:eastAsia="仿宋" w:cs="仿宋"/>
          <w:sz w:val="20"/>
          <w:szCs w:val="20"/>
          <w:highlight w:val="none"/>
        </w:rPr>
        <w:t>投标</w:t>
      </w:r>
      <w:r>
        <w:rPr>
          <w:rFonts w:hint="eastAsia" w:ascii="仿宋" w:hAnsi="仿宋" w:eastAsia="仿宋" w:cs="仿宋"/>
          <w:sz w:val="20"/>
          <w:szCs w:val="20"/>
          <w:highlight w:val="none"/>
          <w:lang w:val="zh-CN"/>
        </w:rPr>
        <w:t>文件（含澄清或者说明文件）；</w:t>
      </w:r>
    </w:p>
    <w:p w14:paraId="247C54EB">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1.1.4</w:t>
      </w:r>
      <w:r>
        <w:rPr>
          <w:rFonts w:hint="eastAsia" w:ascii="仿宋" w:hAnsi="仿宋" w:eastAsia="仿宋" w:cs="仿宋"/>
          <w:sz w:val="20"/>
          <w:szCs w:val="20"/>
          <w:highlight w:val="none"/>
        </w:rPr>
        <w:t>招标</w:t>
      </w:r>
      <w:r>
        <w:rPr>
          <w:rFonts w:hint="eastAsia" w:ascii="仿宋" w:hAnsi="仿宋" w:eastAsia="仿宋" w:cs="仿宋"/>
          <w:sz w:val="20"/>
          <w:szCs w:val="20"/>
          <w:highlight w:val="none"/>
          <w:lang w:val="zh-CN"/>
        </w:rPr>
        <w:t>文件（含澄清或者修改文件）；</w:t>
      </w:r>
    </w:p>
    <w:p w14:paraId="595B7232">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1.1.5其他相关采购文件。</w:t>
      </w:r>
    </w:p>
    <w:p w14:paraId="353BF03B">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5" w:name="_Toc27126"/>
      <w:bookmarkStart w:id="6" w:name="_Toc24300"/>
      <w:bookmarkStart w:id="7" w:name="_Toc12433"/>
      <w:bookmarkStart w:id="8" w:name="_Toc21295"/>
      <w:bookmarkStart w:id="9" w:name="_Toc22261"/>
      <w:r>
        <w:rPr>
          <w:rFonts w:hint="eastAsia" w:ascii="仿宋" w:hAnsi="仿宋" w:eastAsia="仿宋" w:cs="仿宋"/>
          <w:b/>
          <w:bCs/>
          <w:sz w:val="20"/>
          <w:szCs w:val="20"/>
          <w:highlight w:val="none"/>
        </w:rPr>
        <w:t>1.2货物</w:t>
      </w:r>
      <w:bookmarkEnd w:id="5"/>
      <w:bookmarkEnd w:id="6"/>
      <w:bookmarkEnd w:id="7"/>
      <w:bookmarkEnd w:id="8"/>
      <w:bookmarkEnd w:id="9"/>
    </w:p>
    <w:p w14:paraId="50D9EFB9">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1.2.1货物名称：</w:t>
      </w:r>
      <w:r>
        <w:rPr>
          <w:rFonts w:hint="eastAsia" w:ascii="仿宋" w:hAnsi="仿宋" w:eastAsia="仿宋" w:cs="仿宋"/>
          <w:sz w:val="20"/>
          <w:szCs w:val="20"/>
          <w:highlight w:val="none"/>
          <w:u w:val="single"/>
          <w:lang w:val="zh-CN"/>
        </w:rPr>
        <w:t>　　　　　　　　　　</w:t>
      </w:r>
      <w:r>
        <w:rPr>
          <w:rFonts w:hint="eastAsia" w:ascii="仿宋" w:hAnsi="仿宋" w:eastAsia="仿宋" w:cs="仿宋"/>
          <w:sz w:val="20"/>
          <w:szCs w:val="20"/>
          <w:highlight w:val="none"/>
          <w:lang w:val="zh-CN"/>
        </w:rPr>
        <w:t>；</w:t>
      </w:r>
    </w:p>
    <w:p w14:paraId="26A56B01">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1.2.2货物数量：</w:t>
      </w:r>
      <w:r>
        <w:rPr>
          <w:rFonts w:hint="eastAsia" w:ascii="仿宋" w:hAnsi="仿宋" w:eastAsia="仿宋" w:cs="仿宋"/>
          <w:sz w:val="20"/>
          <w:szCs w:val="20"/>
          <w:highlight w:val="none"/>
          <w:u w:val="single"/>
          <w:lang w:val="zh-CN"/>
        </w:rPr>
        <w:t>　　　　　　　　　　</w:t>
      </w:r>
      <w:r>
        <w:rPr>
          <w:rFonts w:hint="eastAsia" w:ascii="仿宋" w:hAnsi="仿宋" w:eastAsia="仿宋" w:cs="仿宋"/>
          <w:sz w:val="20"/>
          <w:szCs w:val="20"/>
          <w:highlight w:val="none"/>
          <w:lang w:val="zh-CN"/>
        </w:rPr>
        <w:t>；</w:t>
      </w:r>
    </w:p>
    <w:p w14:paraId="17EA90FA">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1.2.3货物质量：</w:t>
      </w:r>
      <w:r>
        <w:rPr>
          <w:rFonts w:hint="eastAsia" w:ascii="仿宋" w:hAnsi="仿宋" w:eastAsia="仿宋" w:cs="仿宋"/>
          <w:sz w:val="20"/>
          <w:szCs w:val="20"/>
          <w:highlight w:val="none"/>
          <w:u w:val="single"/>
          <w:lang w:val="zh-CN"/>
        </w:rPr>
        <w:t>　　　　　　　　　　</w:t>
      </w:r>
      <w:r>
        <w:rPr>
          <w:rFonts w:hint="eastAsia" w:ascii="仿宋" w:hAnsi="仿宋" w:eastAsia="仿宋" w:cs="仿宋"/>
          <w:sz w:val="20"/>
          <w:szCs w:val="20"/>
          <w:highlight w:val="none"/>
          <w:lang w:val="zh-CN"/>
        </w:rPr>
        <w:t>。</w:t>
      </w:r>
    </w:p>
    <w:p w14:paraId="650D0AD5">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10" w:name="_Toc20892"/>
      <w:bookmarkStart w:id="11" w:name="_Toc21631"/>
      <w:bookmarkStart w:id="12" w:name="_Toc2609"/>
      <w:bookmarkStart w:id="13" w:name="_Toc23292"/>
      <w:bookmarkStart w:id="14" w:name="_Toc21551"/>
      <w:r>
        <w:rPr>
          <w:rFonts w:hint="eastAsia" w:ascii="仿宋" w:hAnsi="仿宋" w:eastAsia="仿宋" w:cs="仿宋"/>
          <w:b/>
          <w:bCs/>
          <w:sz w:val="20"/>
          <w:szCs w:val="20"/>
          <w:highlight w:val="none"/>
        </w:rPr>
        <w:t>1.3价款</w:t>
      </w:r>
      <w:bookmarkEnd w:id="10"/>
      <w:bookmarkEnd w:id="11"/>
      <w:bookmarkEnd w:id="12"/>
      <w:bookmarkEnd w:id="13"/>
      <w:bookmarkEnd w:id="14"/>
    </w:p>
    <w:p w14:paraId="6F2BA453">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本合同总价为：</w:t>
      </w:r>
      <w:r>
        <w:rPr>
          <w:rFonts w:hint="eastAsia" w:ascii="仿宋" w:hAnsi="仿宋" w:eastAsia="仿宋" w:cs="仿宋"/>
          <w:sz w:val="20"/>
          <w:szCs w:val="20"/>
          <w:highlight w:val="none"/>
          <w:u w:val="single"/>
          <w:lang w:val="zh-CN"/>
        </w:rPr>
        <w:t>　　　　　　　</w:t>
      </w:r>
      <w:r>
        <w:rPr>
          <w:rFonts w:hint="eastAsia" w:ascii="仿宋" w:hAnsi="仿宋" w:eastAsia="仿宋" w:cs="仿宋"/>
          <w:sz w:val="20"/>
          <w:szCs w:val="20"/>
          <w:highlight w:val="none"/>
          <w:lang w:val="zh-CN"/>
        </w:rPr>
        <w:t>￥元（大写：</w:t>
      </w:r>
      <w:r>
        <w:rPr>
          <w:rFonts w:hint="eastAsia" w:ascii="仿宋" w:hAnsi="仿宋" w:eastAsia="仿宋" w:cs="仿宋"/>
          <w:sz w:val="20"/>
          <w:szCs w:val="20"/>
          <w:highlight w:val="none"/>
          <w:u w:val="single"/>
          <w:lang w:val="zh-CN"/>
        </w:rPr>
        <w:t>　　　　　　　</w:t>
      </w:r>
      <w:r>
        <w:rPr>
          <w:rFonts w:hint="eastAsia" w:ascii="仿宋" w:hAnsi="仿宋" w:eastAsia="仿宋" w:cs="仿宋"/>
          <w:sz w:val="20"/>
          <w:szCs w:val="20"/>
          <w:highlight w:val="none"/>
          <w:lang w:val="zh-CN"/>
        </w:rPr>
        <w:t>元人民币）。</w:t>
      </w:r>
    </w:p>
    <w:p w14:paraId="18313570">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zh-CN"/>
        </w:rPr>
      </w:pPr>
      <w:r>
        <w:rPr>
          <w:rFonts w:hint="eastAsia" w:ascii="仿宋" w:hAnsi="仿宋" w:eastAsia="仿宋" w:cs="仿宋"/>
          <w:sz w:val="20"/>
          <w:szCs w:val="20"/>
          <w:highlight w:val="none"/>
          <w:lang w:val="zh-CN"/>
        </w:rPr>
        <w:t>分项价格：</w:t>
      </w:r>
    </w:p>
    <w:tbl>
      <w:tblPr>
        <w:tblStyle w:val="3"/>
        <w:tblW w:w="45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4051"/>
        <w:gridCol w:w="3038"/>
      </w:tblGrid>
      <w:tr w14:paraId="6E46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2" w:type="pct"/>
            <w:noWrap w:val="0"/>
            <w:vAlign w:val="center"/>
          </w:tcPr>
          <w:p w14:paraId="66B28EE1">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序号</w:t>
            </w:r>
          </w:p>
        </w:tc>
        <w:tc>
          <w:tcPr>
            <w:tcW w:w="2627" w:type="pct"/>
            <w:noWrap w:val="0"/>
            <w:vAlign w:val="center"/>
          </w:tcPr>
          <w:p w14:paraId="4F9794D9">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分项名称</w:t>
            </w:r>
          </w:p>
        </w:tc>
        <w:tc>
          <w:tcPr>
            <w:tcW w:w="1970" w:type="pct"/>
            <w:noWrap w:val="0"/>
            <w:vAlign w:val="center"/>
          </w:tcPr>
          <w:p w14:paraId="0FBBDE44">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分项价格</w:t>
            </w:r>
          </w:p>
        </w:tc>
      </w:tr>
      <w:tr w14:paraId="1CFD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2" w:type="pct"/>
            <w:noWrap w:val="0"/>
            <w:vAlign w:val="center"/>
          </w:tcPr>
          <w:p w14:paraId="329B1B21">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2627" w:type="pct"/>
            <w:noWrap w:val="0"/>
            <w:vAlign w:val="center"/>
          </w:tcPr>
          <w:p w14:paraId="36CD7A0D">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1970" w:type="pct"/>
            <w:noWrap w:val="0"/>
            <w:vAlign w:val="center"/>
          </w:tcPr>
          <w:p w14:paraId="031BBC55">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r>
      <w:tr w14:paraId="32D5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2" w:type="pct"/>
            <w:noWrap w:val="0"/>
            <w:vAlign w:val="center"/>
          </w:tcPr>
          <w:p w14:paraId="63FDAE3E">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2627" w:type="pct"/>
            <w:noWrap w:val="0"/>
            <w:vAlign w:val="center"/>
          </w:tcPr>
          <w:p w14:paraId="072745EF">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1970" w:type="pct"/>
            <w:noWrap w:val="0"/>
            <w:vAlign w:val="center"/>
          </w:tcPr>
          <w:p w14:paraId="29771C06">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r>
      <w:tr w14:paraId="40B6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2" w:type="pct"/>
            <w:noWrap w:val="0"/>
            <w:vAlign w:val="center"/>
          </w:tcPr>
          <w:p w14:paraId="1BC0574C">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2627" w:type="pct"/>
            <w:noWrap w:val="0"/>
            <w:vAlign w:val="center"/>
          </w:tcPr>
          <w:p w14:paraId="094D2FC6">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1970" w:type="pct"/>
            <w:noWrap w:val="0"/>
            <w:vAlign w:val="center"/>
          </w:tcPr>
          <w:p w14:paraId="1A3F205B">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r>
      <w:tr w14:paraId="7BFC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2" w:type="pct"/>
            <w:noWrap w:val="0"/>
            <w:vAlign w:val="center"/>
          </w:tcPr>
          <w:p w14:paraId="115811B5">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2627" w:type="pct"/>
            <w:noWrap w:val="0"/>
            <w:vAlign w:val="center"/>
          </w:tcPr>
          <w:p w14:paraId="3967EE6E">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c>
          <w:tcPr>
            <w:tcW w:w="1970" w:type="pct"/>
            <w:noWrap w:val="0"/>
            <w:vAlign w:val="center"/>
          </w:tcPr>
          <w:p w14:paraId="7A1E2E82">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r>
      <w:tr w14:paraId="7062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029" w:type="pct"/>
            <w:gridSpan w:val="2"/>
            <w:noWrap w:val="0"/>
            <w:vAlign w:val="center"/>
          </w:tcPr>
          <w:p w14:paraId="05C7777B">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总价</w:t>
            </w:r>
          </w:p>
        </w:tc>
        <w:tc>
          <w:tcPr>
            <w:tcW w:w="1970" w:type="pct"/>
            <w:noWrap w:val="0"/>
            <w:vAlign w:val="center"/>
          </w:tcPr>
          <w:p w14:paraId="6C25B1B5">
            <w:pPr>
              <w:pStyle w:val="5"/>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center"/>
              <w:textAlignment w:val="auto"/>
              <w:rPr>
                <w:rFonts w:hint="eastAsia" w:ascii="仿宋" w:hAnsi="仿宋" w:eastAsia="仿宋" w:cs="仿宋"/>
                <w:sz w:val="20"/>
                <w:szCs w:val="20"/>
                <w:highlight w:val="none"/>
              </w:rPr>
            </w:pPr>
          </w:p>
        </w:tc>
      </w:tr>
    </w:tbl>
    <w:p w14:paraId="48867A3D">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15" w:name="_Toc10340"/>
      <w:bookmarkStart w:id="16" w:name="_Toc23571"/>
      <w:bookmarkStart w:id="17" w:name="_Toc1814"/>
      <w:bookmarkStart w:id="18" w:name="_Toc14984"/>
      <w:bookmarkStart w:id="19" w:name="_Toc22618"/>
      <w:r>
        <w:rPr>
          <w:rFonts w:hint="eastAsia" w:ascii="仿宋" w:hAnsi="仿宋" w:eastAsia="仿宋" w:cs="仿宋"/>
          <w:b/>
          <w:bCs/>
          <w:sz w:val="20"/>
          <w:szCs w:val="20"/>
          <w:highlight w:val="none"/>
        </w:rPr>
        <w:t>1.4付款方式和发票开具方式</w:t>
      </w:r>
      <w:bookmarkEnd w:id="15"/>
      <w:bookmarkEnd w:id="16"/>
      <w:bookmarkEnd w:id="17"/>
      <w:bookmarkEnd w:id="18"/>
      <w:bookmarkEnd w:id="19"/>
    </w:p>
    <w:p w14:paraId="01A1E575">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en-US" w:eastAsia="zh-CN"/>
        </w:rPr>
      </w:pPr>
      <w:bookmarkStart w:id="20" w:name="_Toc2846"/>
      <w:bookmarkStart w:id="21" w:name="_Toc19304"/>
      <w:bookmarkStart w:id="22" w:name="_Toc7370"/>
      <w:bookmarkStart w:id="23" w:name="_Toc10909"/>
      <w:bookmarkStart w:id="24" w:name="_Toc32071"/>
      <w:r>
        <w:rPr>
          <w:rFonts w:hint="eastAsia" w:ascii="仿宋" w:hAnsi="仿宋" w:eastAsia="仿宋" w:cs="仿宋"/>
          <w:sz w:val="20"/>
          <w:szCs w:val="20"/>
          <w:highlight w:val="none"/>
          <w:lang w:val="en-US" w:eastAsia="zh-CN"/>
        </w:rPr>
        <w:t>1.4.1合同签订完成，且完成量体后，乙方提供正规发票 ，达到付款条件起 30 日内，支付合同总金额的40.00%。</w:t>
      </w:r>
    </w:p>
    <w:p w14:paraId="02FCE8B3">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1.4.2货物全部到货验收合格后，乙方提供正规发票 ，达到付款条件起 30 日内，支付合同总金额的60.00%。</w:t>
      </w:r>
    </w:p>
    <w:p w14:paraId="17692D83">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1.4.3乙方承诺在甲方办理以上各期付款的支付手续前，为甲方出具等额的符合国家规定的发票；</w:t>
      </w:r>
    </w:p>
    <w:p w14:paraId="42EE07F7">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1.4.4上述时间不包括甲方正常办理支付报批手续的时间。</w:t>
      </w:r>
    </w:p>
    <w:p w14:paraId="5D77804C">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1.5货物交付期限、地点和方式</w:t>
      </w:r>
      <w:bookmarkEnd w:id="20"/>
      <w:bookmarkEnd w:id="21"/>
      <w:bookmarkEnd w:id="22"/>
      <w:bookmarkEnd w:id="23"/>
      <w:bookmarkEnd w:id="24"/>
    </w:p>
    <w:p w14:paraId="44C0CE3D">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1.5.1</w:t>
      </w:r>
      <w:r>
        <w:rPr>
          <w:rFonts w:hint="eastAsia" w:ascii="仿宋" w:hAnsi="仿宋" w:eastAsia="仿宋" w:cs="仿宋"/>
          <w:sz w:val="20"/>
          <w:szCs w:val="20"/>
          <w:highlight w:val="none"/>
          <w:lang w:eastAsia="zh-CN"/>
        </w:rPr>
        <w:t>交货期</w:t>
      </w:r>
      <w:r>
        <w:rPr>
          <w:rFonts w:hint="eastAsia" w:ascii="仿宋" w:hAnsi="仿宋" w:eastAsia="仿宋" w:cs="仿宋"/>
          <w:sz w:val="20"/>
          <w:szCs w:val="20"/>
          <w:highlight w:val="none"/>
        </w:rPr>
        <w:t>：合同签订后3个月内；</w:t>
      </w:r>
    </w:p>
    <w:p w14:paraId="559216D9">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1.5.2交付地点：采购人指定地点。</w:t>
      </w:r>
    </w:p>
    <w:p w14:paraId="084F1E7D">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color w:val="000000" w:themeColor="text1"/>
          <w:sz w:val="20"/>
          <w:szCs w:val="20"/>
          <w:highlight w:val="none"/>
          <w:lang w:val="en-US" w:eastAsia="zh-CN"/>
          <w14:textFill>
            <w14:solidFill>
              <w14:schemeClr w14:val="tx1"/>
            </w14:solidFill>
          </w14:textFill>
        </w:rPr>
      </w:pPr>
      <w:bookmarkStart w:id="25" w:name="_Toc27250"/>
      <w:bookmarkStart w:id="26" w:name="_Toc23398"/>
      <w:bookmarkStart w:id="27" w:name="_Toc21423"/>
      <w:bookmarkStart w:id="28" w:name="_Toc19554"/>
      <w:bookmarkStart w:id="29" w:name="_Toc7580"/>
      <w:r>
        <w:rPr>
          <w:rFonts w:hint="eastAsia" w:ascii="仿宋" w:hAnsi="仿宋" w:eastAsia="仿宋" w:cs="仿宋"/>
          <w:b/>
          <w:color w:val="000000" w:themeColor="text1"/>
          <w:sz w:val="20"/>
          <w:szCs w:val="20"/>
          <w:highlight w:val="none"/>
          <w:lang w:val="en-US" w:eastAsia="zh-CN"/>
          <w14:textFill>
            <w14:solidFill>
              <w14:schemeClr w14:val="tx1"/>
            </w14:solidFill>
          </w14:textFill>
        </w:rPr>
        <w:t>1.6生产过程现场查验要求</w:t>
      </w:r>
    </w:p>
    <w:p w14:paraId="4967284F">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b/>
          <w:bCs/>
          <w:sz w:val="20"/>
          <w:szCs w:val="20"/>
          <w:highlight w:val="none"/>
        </w:rPr>
      </w:pPr>
      <w:r>
        <w:rPr>
          <w:rFonts w:hint="eastAsia" w:ascii="仿宋" w:hAnsi="仿宋" w:eastAsia="仿宋" w:cs="仿宋"/>
          <w:b w:val="0"/>
          <w:bCs/>
          <w:color w:val="000000" w:themeColor="text1"/>
          <w:sz w:val="20"/>
          <w:szCs w:val="20"/>
          <w:highlight w:val="none"/>
          <w:lang w:val="en-US" w:eastAsia="zh-CN"/>
          <w14:textFill>
            <w14:solidFill>
              <w14:schemeClr w14:val="tx1"/>
            </w14:solidFill>
          </w14:textFill>
        </w:rPr>
        <w:t>乙方在服装加工期间，甲方有权组织行业专家、各级法院采购人代表进场实地考察，考察是否转包外包、对原料面料、生产工艺、半成品质量进行实地查验；乙方须配合甲方驻厂检查、样品抽检，若原材料及工艺达不到投标承诺标准，甲方有权要求全部返工或者解除采购合同。</w:t>
      </w:r>
    </w:p>
    <w:p w14:paraId="68A41107">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1.</w:t>
      </w:r>
      <w:r>
        <w:rPr>
          <w:rFonts w:hint="eastAsia" w:ascii="仿宋" w:hAnsi="仿宋" w:eastAsia="仿宋" w:cs="仿宋"/>
          <w:b/>
          <w:bCs/>
          <w:sz w:val="20"/>
          <w:szCs w:val="20"/>
          <w:highlight w:val="none"/>
          <w:lang w:val="en-US" w:eastAsia="zh-CN"/>
        </w:rPr>
        <w:t>7</w:t>
      </w:r>
      <w:r>
        <w:rPr>
          <w:rFonts w:hint="eastAsia" w:ascii="仿宋" w:hAnsi="仿宋" w:eastAsia="仿宋" w:cs="仿宋"/>
          <w:b/>
          <w:bCs/>
          <w:sz w:val="20"/>
          <w:szCs w:val="20"/>
          <w:highlight w:val="none"/>
        </w:rPr>
        <w:t>违约责任</w:t>
      </w:r>
      <w:bookmarkEnd w:id="25"/>
      <w:bookmarkEnd w:id="26"/>
      <w:bookmarkEnd w:id="27"/>
      <w:bookmarkEnd w:id="28"/>
      <w:bookmarkEnd w:id="29"/>
    </w:p>
    <w:p w14:paraId="27EB267A">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.1除不可抗力外，如果乙方没有按照本合同约定的期限、地点和方式交付货物，那么甲方可要求乙方支付违约金，违约金按每迟延交付货物一日的应交付而未交付货物价格的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sz w:val="20"/>
          <w:szCs w:val="20"/>
          <w:highlight w:val="none"/>
          <w:u w:val="single"/>
        </w:rPr>
        <w:t>0.5%</w:t>
      </w:r>
      <w:r>
        <w:rPr>
          <w:rFonts w:hint="eastAsia" w:ascii="仿宋" w:hAnsi="仿宋" w:eastAsia="仿宋" w:cs="仿宋"/>
          <w:sz w:val="20"/>
          <w:szCs w:val="20"/>
          <w:highlight w:val="none"/>
        </w:rPr>
        <w:t>计算，最高限额为本合同总价的</w:t>
      </w:r>
      <w:r>
        <w:rPr>
          <w:rFonts w:hint="eastAsia" w:ascii="仿宋" w:hAnsi="仿宋" w:eastAsia="仿宋" w:cs="仿宋"/>
          <w:sz w:val="20"/>
          <w:szCs w:val="20"/>
          <w:highlight w:val="none"/>
          <w:u w:val="single"/>
        </w:rPr>
        <w:t>5%</w:t>
      </w:r>
      <w:r>
        <w:rPr>
          <w:rFonts w:hint="eastAsia" w:ascii="仿宋" w:hAnsi="仿宋" w:eastAsia="仿宋" w:cs="仿宋"/>
          <w:sz w:val="20"/>
          <w:szCs w:val="20"/>
          <w:highlight w:val="none"/>
        </w:rPr>
        <w:t>；迟延交付货物的违约金计算数额达到前述最高限额之日起，甲方有权在要求乙方支付违约金的同时，书面通知乙方解除本合同；</w:t>
      </w:r>
    </w:p>
    <w:p w14:paraId="356E6E21">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.2除不可抗力外，如果甲方没有按照本合同约定的付款方式付款，那么乙方可要求甲方支付违约金，违约金按每迟延付款一日的应付而未付款的</w:t>
      </w:r>
      <w:r>
        <w:rPr>
          <w:rFonts w:hint="eastAsia" w:ascii="仿宋" w:hAnsi="仿宋" w:eastAsia="仿宋" w:cs="仿宋"/>
          <w:sz w:val="20"/>
          <w:szCs w:val="20"/>
          <w:highlight w:val="none"/>
          <w:u w:val="single"/>
        </w:rPr>
        <w:t>0.5%</w:t>
      </w:r>
      <w:r>
        <w:rPr>
          <w:rFonts w:hint="eastAsia" w:ascii="仿宋" w:hAnsi="仿宋" w:eastAsia="仿宋" w:cs="仿宋"/>
          <w:sz w:val="20"/>
          <w:szCs w:val="20"/>
          <w:highlight w:val="none"/>
        </w:rPr>
        <w:t>计算，最高限额为本合同总价的</w:t>
      </w:r>
      <w:r>
        <w:rPr>
          <w:rFonts w:hint="eastAsia" w:ascii="仿宋" w:hAnsi="仿宋" w:eastAsia="仿宋" w:cs="仿宋"/>
          <w:sz w:val="20"/>
          <w:szCs w:val="20"/>
          <w:highlight w:val="none"/>
          <w:u w:val="single"/>
        </w:rPr>
        <w:t>5%</w:t>
      </w:r>
      <w:r>
        <w:rPr>
          <w:rFonts w:hint="eastAsia" w:ascii="仿宋" w:hAnsi="仿宋" w:eastAsia="仿宋" w:cs="仿宋"/>
          <w:sz w:val="20"/>
          <w:szCs w:val="20"/>
          <w:highlight w:val="none"/>
        </w:rPr>
        <w:t>；迟延付款的违约金计算数额达到前述最高限额之日起，迟延付款的违约金计算数额达到前述最高限额之日起，乙方有权在要求甲方支付违约金的同时，书面通知甲方解除本合同；</w:t>
      </w:r>
    </w:p>
    <w:p w14:paraId="7C699809">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4EEF6DB">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7E2118D">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3D86A4A">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.6如果出现政府采购监督管理部门在处理投诉事项期间，书面通知甲方暂停采购活动的情形，或者询问或质疑事项可能影响中标结果的，导致甲方中止履行合同的情形，均不视为甲方违约。</w:t>
      </w:r>
    </w:p>
    <w:p w14:paraId="402283F3">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30" w:name="_Toc26424"/>
      <w:bookmarkStart w:id="31" w:name="_Toc28375"/>
      <w:bookmarkStart w:id="32" w:name="_Toc16021"/>
      <w:bookmarkStart w:id="33" w:name="_Toc31257"/>
      <w:bookmarkStart w:id="34" w:name="_Toc15583"/>
      <w:r>
        <w:rPr>
          <w:rFonts w:hint="eastAsia" w:ascii="仿宋" w:hAnsi="仿宋" w:eastAsia="仿宋" w:cs="仿宋"/>
          <w:b/>
          <w:bCs/>
          <w:sz w:val="20"/>
          <w:szCs w:val="20"/>
          <w:highlight w:val="none"/>
        </w:rPr>
        <w:t>1.</w:t>
      </w:r>
      <w:r>
        <w:rPr>
          <w:rFonts w:hint="eastAsia" w:ascii="仿宋" w:hAnsi="仿宋" w:eastAsia="仿宋" w:cs="仿宋"/>
          <w:b/>
          <w:bCs/>
          <w:sz w:val="20"/>
          <w:szCs w:val="20"/>
          <w:highlight w:val="none"/>
          <w:lang w:val="en-US" w:eastAsia="zh-CN"/>
        </w:rPr>
        <w:t>8</w:t>
      </w:r>
      <w:r>
        <w:rPr>
          <w:rFonts w:hint="eastAsia" w:ascii="仿宋" w:hAnsi="仿宋" w:eastAsia="仿宋" w:cs="仿宋"/>
          <w:b/>
          <w:bCs/>
          <w:sz w:val="20"/>
          <w:szCs w:val="20"/>
          <w:highlight w:val="none"/>
        </w:rPr>
        <w:t>合同争议的解决</w:t>
      </w:r>
      <w:bookmarkEnd w:id="30"/>
      <w:bookmarkEnd w:id="31"/>
      <w:bookmarkEnd w:id="32"/>
      <w:bookmarkEnd w:id="33"/>
      <w:bookmarkEnd w:id="34"/>
    </w:p>
    <w:p w14:paraId="32ACBD31">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本合同履行过程中发生的任何争议，双方当事人均可通过和解或者调解解决；不愿和解、调解或者和解、调解不成的，可以选择下列第1.7.2种方式解决：</w:t>
      </w:r>
    </w:p>
    <w:p w14:paraId="08E1A395">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8</w:t>
      </w:r>
      <w:r>
        <w:rPr>
          <w:rFonts w:hint="eastAsia" w:ascii="仿宋" w:hAnsi="仿宋" w:eastAsia="仿宋" w:cs="仿宋"/>
          <w:sz w:val="20"/>
          <w:szCs w:val="20"/>
          <w:highlight w:val="none"/>
        </w:rPr>
        <w:t>.1将争议提交</w:t>
      </w:r>
      <w:r>
        <w:rPr>
          <w:rFonts w:hint="eastAsia" w:ascii="仿宋" w:hAnsi="仿宋" w:eastAsia="仿宋" w:cs="仿宋"/>
          <w:sz w:val="20"/>
          <w:szCs w:val="20"/>
          <w:highlight w:val="none"/>
          <w:u w:val="single"/>
        </w:rPr>
        <w:t>合同签订地</w:t>
      </w:r>
      <w:r>
        <w:rPr>
          <w:rFonts w:hint="eastAsia" w:ascii="仿宋" w:hAnsi="仿宋" w:eastAsia="仿宋" w:cs="仿宋"/>
          <w:sz w:val="20"/>
          <w:szCs w:val="20"/>
          <w:highlight w:val="none"/>
        </w:rPr>
        <w:t>仲裁委员会依申请仲裁时其现行有效的仲裁规则裁决；</w:t>
      </w:r>
    </w:p>
    <w:p w14:paraId="6B2EFB9A">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r>
        <w:rPr>
          <w:rFonts w:hint="eastAsia" w:ascii="仿宋" w:hAnsi="仿宋" w:eastAsia="仿宋" w:cs="仿宋"/>
          <w:sz w:val="20"/>
          <w:szCs w:val="20"/>
          <w:highlight w:val="none"/>
          <w:lang w:val="en-US" w:eastAsia="zh-CN"/>
        </w:rPr>
        <w:t>8</w:t>
      </w:r>
      <w:r>
        <w:rPr>
          <w:rFonts w:hint="eastAsia" w:ascii="仿宋" w:hAnsi="仿宋" w:eastAsia="仿宋" w:cs="仿宋"/>
          <w:sz w:val="20"/>
          <w:szCs w:val="20"/>
          <w:highlight w:val="none"/>
        </w:rPr>
        <w:t>.2向</w:t>
      </w:r>
      <w:r>
        <w:rPr>
          <w:rFonts w:hint="eastAsia" w:ascii="仿宋" w:hAnsi="仿宋" w:eastAsia="仿宋" w:cs="仿宋"/>
          <w:sz w:val="20"/>
          <w:szCs w:val="20"/>
          <w:highlight w:val="none"/>
          <w:u w:val="single"/>
        </w:rPr>
        <w:t>合同签订地</w:t>
      </w:r>
      <w:r>
        <w:rPr>
          <w:rFonts w:hint="eastAsia" w:ascii="仿宋" w:hAnsi="仿宋" w:eastAsia="仿宋" w:cs="仿宋"/>
          <w:sz w:val="20"/>
          <w:szCs w:val="20"/>
          <w:highlight w:val="none"/>
        </w:rPr>
        <w:t>人民法院起诉。</w:t>
      </w:r>
    </w:p>
    <w:p w14:paraId="614D5384">
      <w:pPr>
        <w:keepNext w:val="0"/>
        <w:keepLines w:val="0"/>
        <w:pageBreakBefore w:val="0"/>
        <w:widowControl w:val="0"/>
        <w:kinsoku/>
        <w:wordWrap/>
        <w:overflowPunct/>
        <w:topLinePunct w:val="0"/>
        <w:autoSpaceDE/>
        <w:autoSpaceDN/>
        <w:bidi w:val="0"/>
        <w:adjustRightInd/>
        <w:snapToGrid/>
        <w:spacing w:line="360" w:lineRule="auto"/>
        <w:ind w:right="38" w:rightChars="18" w:firstLine="402" w:firstLineChars="200"/>
        <w:textAlignment w:val="auto"/>
        <w:rPr>
          <w:rFonts w:hint="eastAsia" w:ascii="仿宋" w:hAnsi="仿宋" w:eastAsia="仿宋" w:cs="仿宋"/>
          <w:b/>
          <w:bCs/>
          <w:sz w:val="20"/>
          <w:szCs w:val="20"/>
          <w:highlight w:val="none"/>
        </w:rPr>
      </w:pPr>
      <w:bookmarkStart w:id="35" w:name="_Toc11173"/>
      <w:bookmarkStart w:id="36" w:name="_Toc15322"/>
      <w:bookmarkStart w:id="37" w:name="_Toc7245"/>
      <w:bookmarkStart w:id="38" w:name="_Toc11867"/>
      <w:bookmarkStart w:id="39" w:name="_Toc10056"/>
      <w:r>
        <w:rPr>
          <w:rFonts w:hint="eastAsia" w:ascii="仿宋" w:hAnsi="仿宋" w:eastAsia="仿宋" w:cs="仿宋"/>
          <w:b/>
          <w:bCs/>
          <w:sz w:val="20"/>
          <w:szCs w:val="20"/>
          <w:highlight w:val="none"/>
        </w:rPr>
        <w:t>1.</w:t>
      </w:r>
      <w:r>
        <w:rPr>
          <w:rFonts w:hint="eastAsia" w:ascii="仿宋" w:hAnsi="仿宋" w:eastAsia="仿宋" w:cs="仿宋"/>
          <w:b/>
          <w:bCs/>
          <w:sz w:val="20"/>
          <w:szCs w:val="20"/>
          <w:highlight w:val="none"/>
          <w:lang w:val="en-US" w:eastAsia="zh-CN"/>
        </w:rPr>
        <w:t>9</w:t>
      </w:r>
      <w:r>
        <w:rPr>
          <w:rFonts w:hint="eastAsia" w:ascii="仿宋" w:hAnsi="仿宋" w:eastAsia="仿宋" w:cs="仿宋"/>
          <w:b/>
          <w:bCs/>
          <w:sz w:val="20"/>
          <w:szCs w:val="20"/>
          <w:highlight w:val="none"/>
        </w:rPr>
        <w:t>合同生效</w:t>
      </w:r>
      <w:bookmarkEnd w:id="35"/>
      <w:bookmarkEnd w:id="36"/>
      <w:bookmarkEnd w:id="37"/>
      <w:bookmarkEnd w:id="38"/>
      <w:bookmarkEnd w:id="39"/>
    </w:p>
    <w:p w14:paraId="23F3AB03">
      <w:pPr>
        <w:keepNext w:val="0"/>
        <w:keepLines w:val="0"/>
        <w:pageBreakBefore w:val="0"/>
        <w:widowControl w:val="0"/>
        <w:kinsoku/>
        <w:wordWrap/>
        <w:overflowPunct/>
        <w:topLinePunct w:val="0"/>
        <w:autoSpaceDE/>
        <w:autoSpaceDN/>
        <w:bidi w:val="0"/>
        <w:adjustRightInd/>
        <w:snapToGrid/>
        <w:spacing w:line="360" w:lineRule="auto"/>
        <w:ind w:right="38" w:rightChars="18"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本合同自双方当事人盖章或者签字时生效。</w:t>
      </w:r>
    </w:p>
    <w:p w14:paraId="109AF49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sz w:val="20"/>
          <w:szCs w:val="20"/>
          <w:highlight w:val="none"/>
          <w:lang w:val="zh-CN"/>
        </w:rPr>
      </w:pPr>
    </w:p>
    <w:p w14:paraId="76BFEA13">
      <w:pPr>
        <w:spacing w:line="360" w:lineRule="auto"/>
        <w:ind w:firstLine="400" w:firstLineChars="200"/>
        <w:rPr>
          <w:rFonts w:hint="eastAsia" w:ascii="仿宋" w:hAnsi="仿宋" w:eastAsia="仿宋" w:cs="仿宋"/>
          <w:sz w:val="20"/>
          <w:szCs w:val="20"/>
          <w:highlight w:val="none"/>
        </w:rPr>
      </w:pPr>
    </w:p>
    <w:p w14:paraId="3547DDA6">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甲方：   （盖章）   </w:t>
      </w:r>
      <w:r>
        <w:rPr>
          <w:rFonts w:hint="eastAsia" w:ascii="仿宋" w:hAnsi="仿宋" w:eastAsia="仿宋" w:cs="仿宋"/>
          <w:sz w:val="20"/>
          <w:szCs w:val="20"/>
          <w:highlight w:val="none"/>
        </w:rPr>
        <w:tab/>
      </w:r>
      <w:r>
        <w:rPr>
          <w:rFonts w:hint="eastAsia" w:ascii="仿宋" w:hAnsi="仿宋" w:eastAsia="仿宋" w:cs="仿宋"/>
          <w:sz w:val="20"/>
          <w:szCs w:val="20"/>
          <w:highlight w:val="none"/>
        </w:rPr>
        <w:tab/>
      </w:r>
      <w:r>
        <w:rPr>
          <w:rFonts w:hint="eastAsia" w:ascii="仿宋" w:hAnsi="仿宋" w:eastAsia="仿宋" w:cs="仿宋"/>
          <w:sz w:val="20"/>
          <w:szCs w:val="20"/>
          <w:highlight w:val="none"/>
        </w:rPr>
        <w:tab/>
      </w:r>
      <w:r>
        <w:rPr>
          <w:rFonts w:hint="eastAsia" w:ascii="仿宋" w:hAnsi="仿宋" w:eastAsia="仿宋" w:cs="仿宋"/>
          <w:sz w:val="20"/>
          <w:szCs w:val="20"/>
          <w:highlight w:val="none"/>
        </w:rPr>
        <w:t xml:space="preserve">       </w:t>
      </w: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highlight w:val="none"/>
        </w:rPr>
        <w:t>乙方：   （盖章）</w:t>
      </w:r>
    </w:p>
    <w:p w14:paraId="02714276">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法定代表人（委托代理人）：              法定代表人（委托代理人）：</w:t>
      </w:r>
    </w:p>
    <w:p w14:paraId="77C7A71B">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地    址：                             地    址：</w:t>
      </w:r>
    </w:p>
    <w:p w14:paraId="6A127044">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开户银行：                             开户银行：</w:t>
      </w:r>
    </w:p>
    <w:p w14:paraId="79AADEB5">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账号：                                 账号：</w:t>
      </w:r>
    </w:p>
    <w:p w14:paraId="09047EAD">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电    话：                             电    话：</w:t>
      </w:r>
    </w:p>
    <w:p w14:paraId="5B253091">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传    真：                             传    真：</w:t>
      </w:r>
    </w:p>
    <w:p w14:paraId="1DBA351B">
      <w:pPr>
        <w:ind w:firstLine="400" w:firstLineChars="200"/>
        <w:rPr>
          <w:rFonts w:hint="eastAsia" w:ascii="仿宋" w:hAnsi="仿宋" w:eastAsia="仿宋" w:cs="仿宋"/>
          <w:sz w:val="22"/>
          <w:szCs w:val="28"/>
          <w:highlight w:val="none"/>
        </w:rPr>
      </w:pPr>
      <w:r>
        <w:rPr>
          <w:rFonts w:hint="eastAsia" w:ascii="仿宋" w:hAnsi="仿宋" w:eastAsia="仿宋" w:cs="仿宋"/>
          <w:sz w:val="20"/>
          <w:szCs w:val="20"/>
          <w:highlight w:val="none"/>
        </w:rPr>
        <w:t xml:space="preserve">签约日期：  年  月  日 </w:t>
      </w:r>
      <w:r>
        <w:rPr>
          <w:rFonts w:hint="eastAsia" w:ascii="仿宋" w:hAnsi="仿宋" w:eastAsia="仿宋" w:cs="仿宋"/>
          <w:sz w:val="20"/>
          <w:szCs w:val="20"/>
          <w:highlight w:val="none"/>
        </w:rPr>
        <w:tab/>
      </w:r>
      <w:r>
        <w:rPr>
          <w:rFonts w:hint="eastAsia" w:ascii="仿宋" w:hAnsi="仿宋" w:eastAsia="仿宋" w:cs="仿宋"/>
          <w:sz w:val="20"/>
          <w:szCs w:val="20"/>
          <w:highlight w:val="none"/>
        </w:rPr>
        <w:tab/>
      </w:r>
      <w:r>
        <w:rPr>
          <w:rFonts w:hint="eastAsia" w:ascii="仿宋" w:hAnsi="仿宋" w:eastAsia="仿宋" w:cs="仿宋"/>
          <w:sz w:val="20"/>
          <w:szCs w:val="20"/>
          <w:highlight w:val="none"/>
        </w:rPr>
        <w:tab/>
      </w:r>
      <w:r>
        <w:rPr>
          <w:rFonts w:hint="eastAsia" w:ascii="仿宋" w:hAnsi="仿宋" w:eastAsia="仿宋" w:cs="仿宋"/>
          <w:sz w:val="20"/>
          <w:szCs w:val="20"/>
          <w:highlight w:val="none"/>
        </w:rPr>
        <w:t xml:space="preserve">  </w:t>
      </w: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highlight w:val="none"/>
        </w:rPr>
        <w:t xml:space="preserve"> 签约日期：    年  月  </w:t>
      </w:r>
      <w:r>
        <w:rPr>
          <w:rFonts w:hint="eastAsia" w:ascii="仿宋" w:hAnsi="仿宋" w:eastAsia="仿宋" w:cs="仿宋"/>
          <w:color w:val="000000"/>
          <w:sz w:val="20"/>
          <w:szCs w:val="20"/>
          <w:highlight w:val="none"/>
        </w:rPr>
        <w:t>日</w:t>
      </w:r>
    </w:p>
    <w:p w14:paraId="78BA19A9">
      <w:bookmarkStart w:id="40" w:name="_GoBack"/>
      <w:bookmarkEnd w:id="4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E2E6F"/>
    <w:rsid w:val="32DE2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2026-07-24T01:08:00Z</dcterms:created>
  <dc:creator>德仁招标</dc:creator>
  <cp:lastModifiedBy>德仁招标</cp:lastModifiedBy>
  <dcterms:modified xsi:type="dcterms:W3CDTF">2026-07-24T01:08:25Z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96B66A6FF64D4266BF5BC4F6E2183080_11</vt:lpwstr>
  </property>
  <property fmtid="{D5CDD505-2E9C-101B-9397-08002B2CF9AE}" pid="4" name="KSOTemplateDocerSaveRecord">
    <vt:lpwstr>eyJoZGlkIjoiNzNmNDZlOGE4YzBiODhkNTY3NTdiYjNiMTljZmEwZTciLCJ1c2VySWQiOiIyNzQ5OTcwMTQifQ==</vt:lpwstr>
  </property>
</Properties>
</file>